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073" w:rsidRDefault="00051073" w:rsidP="004D173C">
      <w:pPr>
        <w:pStyle w:val="NormalWeb"/>
        <w:jc w:val="center"/>
        <w:rPr>
          <w:rStyle w:val="Strong"/>
          <w:rFonts w:ascii="Verdana" w:hAnsi="Verdana"/>
          <w:color w:val="000000"/>
          <w:sz w:val="27"/>
          <w:szCs w:val="27"/>
          <w:u w:val="single"/>
        </w:rPr>
      </w:pPr>
      <w:bookmarkStart w:id="0" w:name="_GoBack"/>
      <w:r>
        <w:rPr>
          <w:rFonts w:ascii="Verdana" w:hAnsi="Verdana"/>
          <w:b/>
          <w:bCs/>
          <w:noProof/>
          <w:color w:val="000000"/>
          <w:sz w:val="27"/>
          <w:szCs w:val="27"/>
          <w:u w:val="single"/>
        </w:rPr>
        <w:drawing>
          <wp:inline distT="0" distB="0" distL="0" distR="0">
            <wp:extent cx="4295775" cy="21478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4">
                      <a:extLst>
                        <a:ext uri="{28A0092B-C50C-407E-A947-70E740481C1C}">
                          <a14:useLocalDpi xmlns:a14="http://schemas.microsoft.com/office/drawing/2010/main" val="0"/>
                        </a:ext>
                      </a:extLst>
                    </a:blip>
                    <a:stretch>
                      <a:fillRect/>
                    </a:stretch>
                  </pic:blipFill>
                  <pic:spPr>
                    <a:xfrm>
                      <a:off x="0" y="0"/>
                      <a:ext cx="4310799" cy="2155400"/>
                    </a:xfrm>
                    <a:prstGeom prst="rect">
                      <a:avLst/>
                    </a:prstGeom>
                  </pic:spPr>
                </pic:pic>
              </a:graphicData>
            </a:graphic>
          </wp:inline>
        </w:drawing>
      </w:r>
    </w:p>
    <w:p w:rsidR="00051073" w:rsidRPr="00051073" w:rsidRDefault="00051073" w:rsidP="00051073">
      <w:pPr>
        <w:pStyle w:val="NormalWeb"/>
        <w:spacing w:line="360" w:lineRule="auto"/>
        <w:jc w:val="center"/>
        <w:rPr>
          <w:rStyle w:val="Strong"/>
          <w:color w:val="000000"/>
          <w:sz w:val="27"/>
          <w:szCs w:val="27"/>
          <w:u w:val="single"/>
        </w:rPr>
      </w:pPr>
    </w:p>
    <w:p w:rsidR="004D173C" w:rsidRPr="00051073" w:rsidRDefault="004D173C" w:rsidP="00051073">
      <w:pPr>
        <w:pStyle w:val="NormalWeb"/>
        <w:spacing w:line="360" w:lineRule="auto"/>
        <w:jc w:val="center"/>
        <w:rPr>
          <w:color w:val="000000"/>
          <w:sz w:val="20"/>
          <w:szCs w:val="17"/>
        </w:rPr>
      </w:pPr>
      <w:r w:rsidRPr="00051073">
        <w:rPr>
          <w:rStyle w:val="Strong"/>
          <w:color w:val="000000"/>
          <w:sz w:val="32"/>
          <w:szCs w:val="27"/>
          <w:u w:val="single"/>
        </w:rPr>
        <w:t>What is Option Two?</w:t>
      </w:r>
    </w:p>
    <w:p w:rsidR="004D173C" w:rsidRPr="00051073" w:rsidRDefault="004D173C" w:rsidP="00051073">
      <w:pPr>
        <w:pStyle w:val="NormalWeb"/>
        <w:spacing w:line="360" w:lineRule="auto"/>
        <w:jc w:val="center"/>
        <w:rPr>
          <w:color w:val="000000"/>
          <w:sz w:val="17"/>
          <w:szCs w:val="17"/>
        </w:rPr>
      </w:pPr>
      <w:r w:rsidRPr="00051073">
        <w:rPr>
          <w:color w:val="000000"/>
          <w:sz w:val="27"/>
          <w:szCs w:val="27"/>
        </w:rPr>
        <w:t>The purpose of Option Two is to provide educational experiences that are meaningful and relevant, and that provide students with opportunities to explore and achieve at high levels. Option Two allows local school districts to design and implement curricular programs that meet the needs of all students. The regulations support student participation in deep and meaningful learning experiences that advance student learning and focus on student interests and abilities. Option Two allows students to obtain credit for learning experiences outside of the traditional classroom environment. Some of these experiences may provide real-world connections not available in the school setting. Other learning experiences may go beyond what the traditional high school can provide, allowing students to participate in research, international study, or college-level work.</w:t>
      </w:r>
    </w:p>
    <w:bookmarkEnd w:id="0"/>
    <w:p w:rsidR="00CE7C35" w:rsidRDefault="00051073"/>
    <w:sectPr w:rsidR="00CE7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3C"/>
    <w:rsid w:val="00051073"/>
    <w:rsid w:val="002E2E32"/>
    <w:rsid w:val="004D173C"/>
    <w:rsid w:val="0059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FB7D"/>
  <w15:chartTrackingRefBased/>
  <w15:docId w15:val="{71FECDDF-116F-4981-BF83-7EBC8BB9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7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1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408787">
      <w:bodyDiv w:val="1"/>
      <w:marLeft w:val="0"/>
      <w:marRight w:val="0"/>
      <w:marTop w:val="0"/>
      <w:marBottom w:val="0"/>
      <w:divBdr>
        <w:top w:val="none" w:sz="0" w:space="0" w:color="auto"/>
        <w:left w:val="none" w:sz="0" w:space="0" w:color="auto"/>
        <w:bottom w:val="none" w:sz="0" w:space="0" w:color="auto"/>
        <w:right w:val="none" w:sz="0" w:space="0" w:color="auto"/>
      </w:divBdr>
    </w:div>
    <w:div w:id="20265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Raynor, Britani</dc:creator>
  <cp:keywords/>
  <dc:description/>
  <cp:lastModifiedBy>Raynor, Britani</cp:lastModifiedBy>
  <cp:revision>1</cp:revision>
  <dcterms:created xsi:type="dcterms:W3CDTF">2020-10-26T16:14:00Z</dcterms:created>
  <dcterms:modified xsi:type="dcterms:W3CDTF">2020-10-26T17:24:00Z</dcterms:modified>
</cp:coreProperties>
</file>